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392" w:type="dxa"/>
        <w:tblLook w:val="04A0" w:firstRow="1" w:lastRow="0" w:firstColumn="1" w:lastColumn="0" w:noHBand="0" w:noVBand="1"/>
      </w:tblPr>
      <w:tblGrid>
        <w:gridCol w:w="4820"/>
        <w:gridCol w:w="4678"/>
      </w:tblGrid>
      <w:tr w:rsidR="00C209D3" w:rsidRPr="005012F4" w:rsidTr="00C209D3">
        <w:tc>
          <w:tcPr>
            <w:tcW w:w="4820" w:type="dxa"/>
            <w:shd w:val="clear" w:color="auto" w:fill="auto"/>
          </w:tcPr>
          <w:p w:rsidR="00C209D3" w:rsidRPr="005012F4" w:rsidRDefault="00C209D3" w:rsidP="00CE4E53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4678" w:type="dxa"/>
            <w:shd w:val="clear" w:color="auto" w:fill="auto"/>
          </w:tcPr>
          <w:p w:rsidR="00C209D3" w:rsidRPr="005012F4" w:rsidRDefault="00C209D3" w:rsidP="00CE4E53">
            <w:pPr>
              <w:pStyle w:val="a7"/>
              <w:spacing w:after="0"/>
              <w:rPr>
                <w:rFonts w:cs="Calibri"/>
                <w:b/>
              </w:rPr>
            </w:pPr>
            <w:r w:rsidRPr="005012F4">
              <w:rPr>
                <w:rFonts w:cs="Calibri"/>
                <w:b/>
              </w:rPr>
              <w:t>УТВЕРЖДЕНЫ</w:t>
            </w:r>
          </w:p>
          <w:p w:rsidR="00C209D3" w:rsidRPr="005012F4" w:rsidRDefault="00C209D3" w:rsidP="00CE4E5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209D3" w:rsidRPr="005012F4" w:rsidTr="00C209D3">
        <w:tc>
          <w:tcPr>
            <w:tcW w:w="4820" w:type="dxa"/>
            <w:shd w:val="clear" w:color="auto" w:fill="auto"/>
          </w:tcPr>
          <w:p w:rsidR="00C209D3" w:rsidRPr="005012F4" w:rsidRDefault="00C209D3" w:rsidP="00CE4E5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</w:tcPr>
          <w:p w:rsidR="00C209D3" w:rsidRPr="005012F4" w:rsidRDefault="00C209D3" w:rsidP="00CE4E53">
            <w:pPr>
              <w:pStyle w:val="a7"/>
              <w:spacing w:after="0"/>
              <w:rPr>
                <w:rFonts w:cs="Calibri"/>
                <w:b/>
              </w:rPr>
            </w:pPr>
            <w:r w:rsidRPr="005012F4">
              <w:rPr>
                <w:rFonts w:cs="Calibri"/>
                <w:b/>
              </w:rPr>
              <w:t xml:space="preserve">Приказом АО «ВЛАДБИЗНЕСБАНК»  </w:t>
            </w:r>
          </w:p>
          <w:p w:rsidR="00C209D3" w:rsidRPr="005012F4" w:rsidRDefault="00C209D3" w:rsidP="00CE4E53">
            <w:pPr>
              <w:pStyle w:val="a7"/>
              <w:spacing w:after="0"/>
              <w:rPr>
                <w:rFonts w:cs="Calibri"/>
                <w:b/>
              </w:rPr>
            </w:pPr>
            <w:r w:rsidRPr="005012F4">
              <w:rPr>
                <w:rFonts w:cs="Calibri"/>
                <w:b/>
              </w:rPr>
              <w:t xml:space="preserve">№ </w:t>
            </w:r>
            <w:r w:rsidR="00047100">
              <w:rPr>
                <w:rFonts w:cs="Calibri"/>
                <w:b/>
              </w:rPr>
              <w:t xml:space="preserve">166 </w:t>
            </w:r>
            <w:r w:rsidR="005012F4" w:rsidRPr="005012F4">
              <w:rPr>
                <w:rFonts w:cs="Calibri"/>
                <w:b/>
              </w:rPr>
              <w:t xml:space="preserve">от </w:t>
            </w:r>
            <w:r w:rsidR="00047100">
              <w:rPr>
                <w:rFonts w:cs="Calibri"/>
                <w:b/>
              </w:rPr>
              <w:t>29.08.2019</w:t>
            </w:r>
            <w:r w:rsidR="005012F4" w:rsidRPr="005012F4">
              <w:rPr>
                <w:rFonts w:cs="Calibri"/>
                <w:b/>
              </w:rPr>
              <w:t xml:space="preserve"> (Приложение</w:t>
            </w:r>
            <w:r w:rsidR="008642BC">
              <w:rPr>
                <w:rFonts w:cs="Calibri"/>
                <w:b/>
              </w:rPr>
              <w:t xml:space="preserve"> </w:t>
            </w:r>
            <w:r w:rsidR="005012F4" w:rsidRPr="005012F4">
              <w:rPr>
                <w:rFonts w:cs="Calibri"/>
                <w:b/>
              </w:rPr>
              <w:t>№</w:t>
            </w:r>
            <w:r w:rsidR="00D037D9">
              <w:rPr>
                <w:rFonts w:cs="Calibri"/>
                <w:b/>
              </w:rPr>
              <w:t>1</w:t>
            </w:r>
            <w:r w:rsidR="005012F4" w:rsidRPr="005012F4">
              <w:rPr>
                <w:rFonts w:cs="Calibri"/>
                <w:b/>
              </w:rPr>
              <w:t xml:space="preserve"> к Приказу)</w:t>
            </w:r>
          </w:p>
          <w:p w:rsidR="00C209D3" w:rsidRPr="005012F4" w:rsidRDefault="00C209D3" w:rsidP="00CE4E53">
            <w:pPr>
              <w:pStyle w:val="a7"/>
              <w:spacing w:after="0"/>
              <w:rPr>
                <w:rFonts w:cs="Calibri"/>
                <w:b/>
              </w:rPr>
            </w:pPr>
            <w:r w:rsidRPr="005012F4">
              <w:rPr>
                <w:rFonts w:cs="Calibri"/>
                <w:b/>
              </w:rPr>
              <w:t>Председатель Правления</w:t>
            </w:r>
          </w:p>
          <w:p w:rsidR="00C209D3" w:rsidRPr="005012F4" w:rsidRDefault="00C209D3" w:rsidP="00CE4E53">
            <w:pPr>
              <w:pStyle w:val="a7"/>
              <w:spacing w:after="0"/>
              <w:rPr>
                <w:rFonts w:cs="Calibri"/>
                <w:b/>
              </w:rPr>
            </w:pPr>
            <w:r w:rsidRPr="005012F4">
              <w:rPr>
                <w:rFonts w:cs="Calibri"/>
                <w:b/>
              </w:rPr>
              <w:t>АО «ВЛАДБИЗНЕСБАНК»</w:t>
            </w:r>
          </w:p>
          <w:p w:rsidR="00C209D3" w:rsidRPr="005012F4" w:rsidRDefault="00C209D3" w:rsidP="00CE4E53">
            <w:pPr>
              <w:pStyle w:val="a7"/>
              <w:spacing w:after="0"/>
              <w:rPr>
                <w:rFonts w:cs="Calibri"/>
                <w:b/>
              </w:rPr>
            </w:pPr>
            <w:r w:rsidRPr="005012F4">
              <w:rPr>
                <w:rFonts w:cs="Calibri"/>
                <w:b/>
              </w:rPr>
              <w:t>С.В. Соловьев______________</w:t>
            </w:r>
          </w:p>
          <w:p w:rsidR="00C209D3" w:rsidRPr="005012F4" w:rsidRDefault="00C209D3" w:rsidP="00CE4E53">
            <w:pPr>
              <w:pStyle w:val="a7"/>
              <w:spacing w:after="0"/>
              <w:rPr>
                <w:rFonts w:cs="Calibri"/>
                <w:b/>
              </w:rPr>
            </w:pPr>
          </w:p>
        </w:tc>
      </w:tr>
    </w:tbl>
    <w:p w:rsidR="00C209D3" w:rsidRPr="005012F4" w:rsidRDefault="00C209D3">
      <w:pPr>
        <w:shd w:val="clear" w:color="auto" w:fill="FFFFFF"/>
        <w:spacing w:line="283" w:lineRule="exact"/>
        <w:ind w:left="110" w:firstLine="379"/>
        <w:rPr>
          <w:rFonts w:ascii="Calibri" w:hAnsi="Calibri" w:cs="Calibri"/>
          <w:b/>
          <w:bCs/>
          <w:sz w:val="22"/>
          <w:szCs w:val="22"/>
        </w:rPr>
      </w:pPr>
    </w:p>
    <w:p w:rsidR="006E6410" w:rsidRPr="005012F4" w:rsidRDefault="008642BC" w:rsidP="005012F4">
      <w:pPr>
        <w:shd w:val="clear" w:color="auto" w:fill="FFFFFF"/>
        <w:spacing w:line="283" w:lineRule="exact"/>
        <w:ind w:left="110" w:firstLine="379"/>
        <w:jc w:val="center"/>
        <w:rPr>
          <w:rFonts w:ascii="Calibri" w:hAnsi="Calibri" w:cs="Calibri"/>
          <w:b/>
          <w:bCs/>
          <w:spacing w:val="-3"/>
          <w:sz w:val="22"/>
          <w:szCs w:val="22"/>
        </w:rPr>
      </w:pPr>
      <w:bookmarkStart w:id="0" w:name="_Hlk14862655"/>
      <w:r w:rsidRPr="005012F4">
        <w:rPr>
          <w:rFonts w:ascii="Calibri" w:hAnsi="Calibri" w:cs="Calibri"/>
          <w:b/>
          <w:bCs/>
          <w:sz w:val="22"/>
          <w:szCs w:val="22"/>
        </w:rPr>
        <w:t xml:space="preserve">УСЛОВИЯ АО «ВЛАДБИЗНЕСБАНК» ПО ОСУЩЕСТВЛЕНИЮ РАСЧЕТОВ АККРЕДИТИВАМИ, </w:t>
      </w:r>
      <w:r w:rsidRPr="005012F4">
        <w:rPr>
          <w:rFonts w:ascii="Calibri" w:hAnsi="Calibri" w:cs="Calibri"/>
          <w:b/>
          <w:bCs/>
          <w:spacing w:val="-1"/>
          <w:sz w:val="22"/>
          <w:szCs w:val="22"/>
        </w:rPr>
        <w:t>ОТКРЫТЫМИ ПО ПОРУЧЕНИЮ ФИЗИЧЕСКОГО ЛИЦА В ПОЛЬЗУ ФИЗИЧЕСКОГО ИЛИ ЮРИДИЧЕСКОГО</w:t>
      </w:r>
      <w:r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5012F4">
        <w:rPr>
          <w:rFonts w:ascii="Calibri" w:hAnsi="Calibri" w:cs="Calibri"/>
          <w:b/>
          <w:bCs/>
          <w:spacing w:val="-3"/>
          <w:sz w:val="22"/>
          <w:szCs w:val="22"/>
        </w:rPr>
        <w:t>ЛИЦА.</w:t>
      </w:r>
    </w:p>
    <w:bookmarkEnd w:id="0"/>
    <w:p w:rsidR="00BA51FB" w:rsidRPr="005012F4" w:rsidRDefault="00BA51FB">
      <w:pPr>
        <w:shd w:val="clear" w:color="auto" w:fill="FFFFFF"/>
        <w:spacing w:line="283" w:lineRule="exact"/>
        <w:ind w:right="24"/>
        <w:jc w:val="center"/>
        <w:rPr>
          <w:rFonts w:ascii="Calibri" w:hAnsi="Calibri" w:cs="Calibri"/>
          <w:sz w:val="22"/>
          <w:szCs w:val="22"/>
        </w:rPr>
      </w:pPr>
    </w:p>
    <w:p w:rsidR="000C6394" w:rsidRDefault="000C6394" w:rsidP="00C209D3">
      <w:pPr>
        <w:numPr>
          <w:ilvl w:val="0"/>
          <w:numId w:val="3"/>
        </w:numPr>
        <w:shd w:val="clear" w:color="auto" w:fill="FFFFFF"/>
        <w:spacing w:line="274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0C6394">
        <w:rPr>
          <w:rFonts w:ascii="Calibri" w:hAnsi="Calibri" w:cs="Calibri"/>
          <w:sz w:val="22"/>
          <w:szCs w:val="22"/>
        </w:rPr>
        <w:t xml:space="preserve">Настоящие </w:t>
      </w:r>
      <w:bookmarkStart w:id="1" w:name="_Hlk17293788"/>
      <w:r w:rsidRPr="000C6394">
        <w:rPr>
          <w:rFonts w:ascii="Calibri" w:hAnsi="Calibri" w:cs="Calibri"/>
          <w:sz w:val="22"/>
          <w:szCs w:val="22"/>
        </w:rPr>
        <w:t xml:space="preserve">Условия </w:t>
      </w:r>
      <w:bookmarkEnd w:id="1"/>
      <w:r w:rsidRPr="000C6394">
        <w:rPr>
          <w:rFonts w:ascii="Calibri" w:hAnsi="Calibri" w:cs="Calibri"/>
          <w:sz w:val="22"/>
          <w:szCs w:val="22"/>
        </w:rPr>
        <w:t xml:space="preserve">по осуществлению расчетов аккредитивами, </w:t>
      </w:r>
      <w:r w:rsidRPr="000C6394">
        <w:rPr>
          <w:rFonts w:ascii="Calibri" w:hAnsi="Calibri" w:cs="Calibri"/>
          <w:spacing w:val="-1"/>
          <w:sz w:val="22"/>
          <w:szCs w:val="22"/>
        </w:rPr>
        <w:t xml:space="preserve">открытыми по поручению физического лица в пользу физического или юридического </w:t>
      </w:r>
      <w:r w:rsidRPr="000C6394">
        <w:rPr>
          <w:rFonts w:ascii="Calibri" w:hAnsi="Calibri" w:cs="Calibri"/>
          <w:spacing w:val="-3"/>
          <w:sz w:val="22"/>
          <w:szCs w:val="22"/>
        </w:rPr>
        <w:t>лица</w:t>
      </w:r>
      <w:r w:rsidRPr="000C6394">
        <w:rPr>
          <w:rFonts w:ascii="Calibri" w:hAnsi="Calibri" w:cs="Calibri"/>
          <w:sz w:val="22"/>
          <w:szCs w:val="22"/>
        </w:rPr>
        <w:t xml:space="preserve"> (далее – Условия) совместно с Заявлением на открытие </w:t>
      </w:r>
      <w:r>
        <w:rPr>
          <w:rFonts w:ascii="Calibri" w:hAnsi="Calibri" w:cs="Calibri"/>
          <w:sz w:val="22"/>
          <w:szCs w:val="22"/>
        </w:rPr>
        <w:t>аккредитива</w:t>
      </w:r>
      <w:r w:rsidRPr="000C6394">
        <w:rPr>
          <w:rFonts w:ascii="Calibri" w:hAnsi="Calibri" w:cs="Calibri"/>
          <w:sz w:val="22"/>
          <w:szCs w:val="22"/>
        </w:rPr>
        <w:t xml:space="preserve"> определяют положения </w:t>
      </w:r>
      <w:r>
        <w:rPr>
          <w:rFonts w:ascii="Calibri" w:hAnsi="Calibri" w:cs="Calibri"/>
          <w:sz w:val="22"/>
          <w:szCs w:val="22"/>
        </w:rPr>
        <w:t>Аккредитива</w:t>
      </w:r>
      <w:r w:rsidRPr="000C6394">
        <w:rPr>
          <w:rFonts w:ascii="Calibri" w:hAnsi="Calibri" w:cs="Calibri"/>
          <w:sz w:val="22"/>
          <w:szCs w:val="22"/>
        </w:rPr>
        <w:t xml:space="preserve">, включая порядок открытия и совершения операций по </w:t>
      </w:r>
      <w:r w:rsidR="00047100">
        <w:rPr>
          <w:rFonts w:ascii="Calibri" w:hAnsi="Calibri" w:cs="Calibri"/>
          <w:sz w:val="22"/>
          <w:szCs w:val="22"/>
        </w:rPr>
        <w:t>нему</w:t>
      </w:r>
      <w:r w:rsidRPr="000C6394">
        <w:rPr>
          <w:rFonts w:ascii="Calibri" w:hAnsi="Calibri" w:cs="Calibri"/>
          <w:sz w:val="22"/>
          <w:szCs w:val="22"/>
        </w:rPr>
        <w:t>.</w:t>
      </w:r>
    </w:p>
    <w:p w:rsidR="006E6410" w:rsidRPr="000A084C" w:rsidRDefault="00047100" w:rsidP="00C209D3">
      <w:pPr>
        <w:numPr>
          <w:ilvl w:val="0"/>
          <w:numId w:val="3"/>
        </w:numPr>
        <w:shd w:val="clear" w:color="auto" w:fill="FFFFFF"/>
        <w:spacing w:line="274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sz w:val="22"/>
          <w:szCs w:val="22"/>
        </w:rPr>
        <w:t>АО «ВЛАДБИЗНЕСБАНК» (далее - Банк)</w:t>
      </w:r>
      <w:r w:rsidR="006E6410" w:rsidRPr="005012F4">
        <w:rPr>
          <w:rFonts w:ascii="Calibri" w:hAnsi="Calibri" w:cs="Calibri"/>
          <w:sz w:val="22"/>
          <w:szCs w:val="22"/>
        </w:rPr>
        <w:t xml:space="preserve"> </w:t>
      </w:r>
      <w:r w:rsidR="008B0B0C">
        <w:rPr>
          <w:rFonts w:ascii="Calibri" w:hAnsi="Calibri" w:cs="Calibri"/>
          <w:sz w:val="22"/>
          <w:szCs w:val="22"/>
        </w:rPr>
        <w:t xml:space="preserve">использует </w:t>
      </w:r>
      <w:r w:rsidR="008B0B0C" w:rsidRPr="005012F4">
        <w:rPr>
          <w:rFonts w:ascii="Calibri" w:hAnsi="Calibri" w:cs="Calibri"/>
          <w:sz w:val="22"/>
          <w:szCs w:val="22"/>
        </w:rPr>
        <w:t>покрытые (депонированные) безотзывные аккредитивы</w:t>
      </w:r>
      <w:r w:rsidR="008B0B0C">
        <w:rPr>
          <w:rFonts w:ascii="Calibri" w:hAnsi="Calibri" w:cs="Calibri"/>
          <w:sz w:val="22"/>
          <w:szCs w:val="22"/>
        </w:rPr>
        <w:t xml:space="preserve"> в рамках предоставления кредитного продукта Банка.  </w:t>
      </w:r>
    </w:p>
    <w:p w:rsidR="006E6410" w:rsidRPr="005012F4" w:rsidRDefault="006E6410" w:rsidP="00C209D3">
      <w:pPr>
        <w:numPr>
          <w:ilvl w:val="0"/>
          <w:numId w:val="3"/>
        </w:numPr>
        <w:shd w:val="clear" w:color="auto" w:fill="FFFFFF"/>
        <w:spacing w:line="274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sz w:val="22"/>
          <w:szCs w:val="22"/>
        </w:rPr>
        <w:t>В Банке платежи по аккредитивам совершаются в случае, если Плательщик и Получатель средств по аккредитиву являются клиентами</w:t>
      </w:r>
      <w:r w:rsidR="000C6394">
        <w:rPr>
          <w:rFonts w:ascii="Calibri" w:hAnsi="Calibri" w:cs="Calibri"/>
          <w:sz w:val="22"/>
          <w:szCs w:val="22"/>
        </w:rPr>
        <w:t xml:space="preserve"> Банка</w:t>
      </w:r>
      <w:r w:rsidRPr="005012F4">
        <w:rPr>
          <w:rFonts w:ascii="Calibri" w:hAnsi="Calibri" w:cs="Calibri"/>
          <w:sz w:val="22"/>
          <w:szCs w:val="22"/>
        </w:rPr>
        <w:t xml:space="preserve">. При этом Плательщик - физическое лицо, Получатель - физическое или юридическое лицо/индивидуальный предприниматель. Счетом Плательщика может являться только текущий счет; счетом Получателя - физического лица </w:t>
      </w:r>
      <w:r w:rsidR="008B0B0C">
        <w:rPr>
          <w:rFonts w:ascii="Calibri" w:hAnsi="Calibri" w:cs="Calibri"/>
          <w:sz w:val="22"/>
          <w:szCs w:val="22"/>
        </w:rPr>
        <w:t>–</w:t>
      </w:r>
      <w:r w:rsidRPr="005012F4">
        <w:rPr>
          <w:rFonts w:ascii="Calibri" w:hAnsi="Calibri" w:cs="Calibri"/>
          <w:sz w:val="22"/>
          <w:szCs w:val="22"/>
        </w:rPr>
        <w:t xml:space="preserve"> счет</w:t>
      </w:r>
      <w:r w:rsidR="008B0B0C">
        <w:rPr>
          <w:rFonts w:ascii="Calibri" w:hAnsi="Calibri" w:cs="Calibri"/>
          <w:sz w:val="22"/>
          <w:szCs w:val="22"/>
        </w:rPr>
        <w:t>, указанный</w:t>
      </w:r>
      <w:r w:rsidRPr="005012F4">
        <w:rPr>
          <w:rFonts w:ascii="Calibri" w:hAnsi="Calibri" w:cs="Calibri"/>
          <w:sz w:val="22"/>
          <w:szCs w:val="22"/>
        </w:rPr>
        <w:t xml:space="preserve"> </w:t>
      </w:r>
      <w:r w:rsidR="008B0B0C">
        <w:rPr>
          <w:rFonts w:ascii="Calibri" w:hAnsi="Calibri" w:cs="Calibri"/>
          <w:sz w:val="22"/>
          <w:szCs w:val="22"/>
        </w:rPr>
        <w:t xml:space="preserve">в </w:t>
      </w:r>
      <w:r w:rsidR="008B0B0C" w:rsidRPr="005012F4">
        <w:rPr>
          <w:rFonts w:ascii="Calibri" w:hAnsi="Calibri" w:cs="Calibri"/>
          <w:sz w:val="22"/>
          <w:szCs w:val="22"/>
        </w:rPr>
        <w:t>Договор</w:t>
      </w:r>
      <w:r w:rsidR="008B0B0C">
        <w:rPr>
          <w:rFonts w:ascii="Calibri" w:hAnsi="Calibri" w:cs="Calibri"/>
          <w:sz w:val="22"/>
          <w:szCs w:val="22"/>
        </w:rPr>
        <w:t>е</w:t>
      </w:r>
      <w:r w:rsidR="008B0B0C" w:rsidRPr="005012F4">
        <w:rPr>
          <w:rFonts w:ascii="Calibri" w:hAnsi="Calibri" w:cs="Calibri"/>
          <w:sz w:val="22"/>
          <w:szCs w:val="22"/>
        </w:rPr>
        <w:t xml:space="preserve"> купли-продажи квартиры/апартаментов/договора уступки прав (требования) по договору участия в долевом строительстве (далее- </w:t>
      </w:r>
      <w:r w:rsidR="00095712">
        <w:rPr>
          <w:rFonts w:ascii="Calibri" w:hAnsi="Calibri" w:cs="Calibri"/>
          <w:sz w:val="22"/>
          <w:szCs w:val="22"/>
        </w:rPr>
        <w:t>Договор сторон</w:t>
      </w:r>
      <w:r w:rsidR="008B0B0C" w:rsidRPr="005012F4">
        <w:rPr>
          <w:rFonts w:ascii="Calibri" w:hAnsi="Calibri" w:cs="Calibri"/>
          <w:sz w:val="22"/>
          <w:szCs w:val="22"/>
        </w:rPr>
        <w:t>)</w:t>
      </w:r>
      <w:r w:rsidRPr="005012F4">
        <w:rPr>
          <w:rFonts w:ascii="Calibri" w:hAnsi="Calibri" w:cs="Calibri"/>
          <w:sz w:val="22"/>
          <w:szCs w:val="22"/>
        </w:rPr>
        <w:t>; счетом Получателя - юридического лица/индивидуального предпринимателя - расчетный счет.</w:t>
      </w:r>
    </w:p>
    <w:p w:rsidR="006E6410" w:rsidRPr="005012F4" w:rsidRDefault="006E6410" w:rsidP="00C209D3">
      <w:pPr>
        <w:numPr>
          <w:ilvl w:val="0"/>
          <w:numId w:val="3"/>
        </w:numPr>
        <w:shd w:val="clear" w:color="auto" w:fill="FFFFFF"/>
        <w:spacing w:line="274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sz w:val="22"/>
          <w:szCs w:val="22"/>
        </w:rPr>
        <w:t xml:space="preserve">Срок аккредитива устанавливается по согласованию Плательщика и Получателя, но не может превышать </w:t>
      </w:r>
      <w:r w:rsidR="000C6286">
        <w:rPr>
          <w:rFonts w:ascii="Calibri" w:hAnsi="Calibri" w:cs="Calibri"/>
          <w:sz w:val="22"/>
          <w:szCs w:val="22"/>
        </w:rPr>
        <w:t>30 (тридцать)</w:t>
      </w:r>
      <w:r w:rsidRPr="005012F4">
        <w:rPr>
          <w:rFonts w:ascii="Calibri" w:hAnsi="Calibri" w:cs="Calibri"/>
          <w:sz w:val="22"/>
          <w:szCs w:val="22"/>
        </w:rPr>
        <w:t xml:space="preserve"> календарных дней. Аккредитив может быть продлен один раз на срок не более</w:t>
      </w:r>
      <w:r w:rsidR="003B3B7A" w:rsidRPr="005012F4">
        <w:rPr>
          <w:rFonts w:ascii="Calibri" w:hAnsi="Calibri" w:cs="Calibri"/>
          <w:sz w:val="22"/>
          <w:szCs w:val="22"/>
        </w:rPr>
        <w:t xml:space="preserve"> </w:t>
      </w:r>
      <w:r w:rsidR="000C6286">
        <w:rPr>
          <w:rFonts w:ascii="Calibri" w:hAnsi="Calibri" w:cs="Calibri"/>
          <w:sz w:val="22"/>
          <w:szCs w:val="22"/>
        </w:rPr>
        <w:t>30 (тридцати)</w:t>
      </w:r>
      <w:r w:rsidR="000C6286" w:rsidRPr="005012F4">
        <w:rPr>
          <w:rFonts w:ascii="Calibri" w:hAnsi="Calibri" w:cs="Calibri"/>
          <w:sz w:val="22"/>
          <w:szCs w:val="22"/>
        </w:rPr>
        <w:t xml:space="preserve"> </w:t>
      </w:r>
      <w:r w:rsidRPr="005012F4">
        <w:rPr>
          <w:rFonts w:ascii="Calibri" w:hAnsi="Calibri" w:cs="Calibri"/>
          <w:sz w:val="22"/>
          <w:szCs w:val="22"/>
        </w:rPr>
        <w:t>календарных дней. Аккредитив открывается на основании заявления Плательщика на открытие аккредитива,</w:t>
      </w:r>
      <w:r w:rsidR="006D3071" w:rsidRPr="005012F4">
        <w:rPr>
          <w:rFonts w:ascii="Calibri" w:hAnsi="Calibri" w:cs="Calibri"/>
          <w:sz w:val="22"/>
          <w:szCs w:val="22"/>
        </w:rPr>
        <w:t xml:space="preserve"> составленного по форме Банка</w:t>
      </w:r>
      <w:r w:rsidRPr="005012F4">
        <w:rPr>
          <w:rFonts w:ascii="Calibri" w:hAnsi="Calibri" w:cs="Calibri"/>
          <w:sz w:val="22"/>
          <w:szCs w:val="22"/>
        </w:rPr>
        <w:t>.</w:t>
      </w:r>
    </w:p>
    <w:p w:rsidR="006E6410" w:rsidRPr="005012F4" w:rsidRDefault="006E6410" w:rsidP="00C209D3">
      <w:pPr>
        <w:numPr>
          <w:ilvl w:val="0"/>
          <w:numId w:val="3"/>
        </w:numPr>
        <w:shd w:val="clear" w:color="auto" w:fill="FFFFFF"/>
        <w:spacing w:line="274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sz w:val="22"/>
          <w:szCs w:val="22"/>
        </w:rPr>
        <w:t>Не допускается внесение изменений в условия ранее открытого аккредитива в части изменения перечня документов, предоставляемых Получателем для исполнения аккредитива, суммы аккредитива, наименования сторон по аккредитиву. Иные изменения допускаются по согласованию с Получателем.</w:t>
      </w:r>
    </w:p>
    <w:p w:rsidR="00B82154" w:rsidRPr="005012F4" w:rsidRDefault="008B0B0C" w:rsidP="008B0B0C">
      <w:pPr>
        <w:numPr>
          <w:ilvl w:val="0"/>
          <w:numId w:val="3"/>
        </w:numPr>
        <w:shd w:val="clear" w:color="auto" w:fill="FFFFFF"/>
        <w:spacing w:line="274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В</w:t>
      </w:r>
      <w:r w:rsidR="00B82154">
        <w:rPr>
          <w:rFonts w:ascii="Calibri" w:hAnsi="Calibri" w:cs="Calibri"/>
          <w:sz w:val="22"/>
          <w:szCs w:val="22"/>
        </w:rPr>
        <w:t xml:space="preserve"> ра</w:t>
      </w:r>
      <w:r w:rsidR="000C6394">
        <w:rPr>
          <w:rFonts w:ascii="Calibri" w:hAnsi="Calibri" w:cs="Calibri"/>
          <w:sz w:val="22"/>
          <w:szCs w:val="22"/>
        </w:rPr>
        <w:t>м</w:t>
      </w:r>
      <w:r w:rsidR="00B82154">
        <w:rPr>
          <w:rFonts w:ascii="Calibri" w:hAnsi="Calibri" w:cs="Calibri"/>
          <w:sz w:val="22"/>
          <w:szCs w:val="22"/>
        </w:rPr>
        <w:t xml:space="preserve">ках кредитного продукта Банка </w:t>
      </w:r>
      <w:r>
        <w:rPr>
          <w:rFonts w:ascii="Calibri" w:hAnsi="Calibri" w:cs="Calibri"/>
          <w:sz w:val="22"/>
          <w:szCs w:val="22"/>
        </w:rPr>
        <w:t>аккредитив</w:t>
      </w:r>
      <w:r w:rsidR="00B82154">
        <w:rPr>
          <w:rFonts w:ascii="Calibri" w:hAnsi="Calibri" w:cs="Calibri"/>
          <w:sz w:val="22"/>
          <w:szCs w:val="22"/>
        </w:rPr>
        <w:t xml:space="preserve"> предоставляется бесплатно.</w:t>
      </w:r>
    </w:p>
    <w:p w:rsidR="006E6410" w:rsidRPr="005012F4" w:rsidRDefault="006E6410" w:rsidP="00C209D3">
      <w:pPr>
        <w:numPr>
          <w:ilvl w:val="0"/>
          <w:numId w:val="3"/>
        </w:numPr>
        <w:shd w:val="clear" w:color="auto" w:fill="FFFFFF"/>
        <w:spacing w:line="274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sz w:val="22"/>
          <w:szCs w:val="22"/>
        </w:rPr>
        <w:t>Операции по аккредитивам осуществляются в случае достаточности средств на счете Плательщика для произведения расчетов по аккредитиву.</w:t>
      </w:r>
    </w:p>
    <w:p w:rsidR="006E6410" w:rsidRPr="005012F4" w:rsidRDefault="006E6410" w:rsidP="00C209D3">
      <w:pPr>
        <w:numPr>
          <w:ilvl w:val="0"/>
          <w:numId w:val="3"/>
        </w:numPr>
        <w:shd w:val="clear" w:color="auto" w:fill="FFFFFF"/>
        <w:spacing w:line="274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sz w:val="22"/>
          <w:szCs w:val="22"/>
        </w:rPr>
        <w:t>Частичные выплаты по аккредитиву не производятся.</w:t>
      </w:r>
    </w:p>
    <w:p w:rsidR="003B3B7A" w:rsidRPr="005012F4" w:rsidRDefault="003B3B7A" w:rsidP="00C209D3">
      <w:pPr>
        <w:numPr>
          <w:ilvl w:val="0"/>
          <w:numId w:val="3"/>
        </w:numPr>
        <w:shd w:val="clear" w:color="auto" w:fill="FFFFFF"/>
        <w:spacing w:line="274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sz w:val="22"/>
          <w:szCs w:val="22"/>
        </w:rPr>
        <w:t>Днем открытия аккредитива считается день</w:t>
      </w:r>
      <w:r w:rsidR="004C6B66">
        <w:rPr>
          <w:rFonts w:ascii="Calibri" w:hAnsi="Calibri" w:cs="Calibri"/>
          <w:sz w:val="22"/>
          <w:szCs w:val="22"/>
        </w:rPr>
        <w:t xml:space="preserve"> подписания Банком заявления на открытие аккредитива</w:t>
      </w:r>
      <w:r w:rsidRPr="005012F4">
        <w:rPr>
          <w:rFonts w:ascii="Calibri" w:hAnsi="Calibri" w:cs="Calibri"/>
          <w:sz w:val="22"/>
          <w:szCs w:val="22"/>
        </w:rPr>
        <w:t>.</w:t>
      </w:r>
    </w:p>
    <w:p w:rsidR="003B3B7A" w:rsidRPr="005012F4" w:rsidRDefault="00C209D3" w:rsidP="00C209D3">
      <w:pPr>
        <w:numPr>
          <w:ilvl w:val="0"/>
          <w:numId w:val="3"/>
        </w:numPr>
        <w:shd w:val="clear" w:color="auto" w:fill="FFFFFF"/>
        <w:spacing w:line="274" w:lineRule="exact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sz w:val="22"/>
          <w:szCs w:val="22"/>
        </w:rPr>
        <w:t>Дл</w:t>
      </w:r>
      <w:r w:rsidR="003B3B7A" w:rsidRPr="005012F4">
        <w:rPr>
          <w:rFonts w:ascii="Calibri" w:hAnsi="Calibri" w:cs="Calibri"/>
          <w:sz w:val="22"/>
          <w:szCs w:val="22"/>
        </w:rPr>
        <w:t xml:space="preserve">я исполнения аккредитива </w:t>
      </w:r>
      <w:r w:rsidR="006D3071" w:rsidRPr="005012F4">
        <w:rPr>
          <w:rFonts w:ascii="Calibri" w:hAnsi="Calibri" w:cs="Calibri"/>
          <w:sz w:val="22"/>
          <w:szCs w:val="22"/>
        </w:rPr>
        <w:t>Получатель</w:t>
      </w:r>
      <w:r w:rsidR="003B3B7A" w:rsidRPr="005012F4">
        <w:rPr>
          <w:rFonts w:ascii="Calibri" w:hAnsi="Calibri" w:cs="Calibri"/>
          <w:sz w:val="22"/>
          <w:szCs w:val="22"/>
        </w:rPr>
        <w:t xml:space="preserve"> представляет в Банк документы, подтверждающие выполнение всех условий аккредитива, в течение срока действия аккредитива и в пределах предусмотренного условиями аккредитива срока для представления документов.</w:t>
      </w:r>
    </w:p>
    <w:p w:rsidR="00C1373B" w:rsidRDefault="00C1373B" w:rsidP="00C209D3">
      <w:pPr>
        <w:numPr>
          <w:ilvl w:val="0"/>
          <w:numId w:val="3"/>
        </w:numPr>
        <w:shd w:val="clear" w:color="auto" w:fill="FFFFFF"/>
        <w:spacing w:line="274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sz w:val="22"/>
          <w:szCs w:val="22"/>
        </w:rPr>
        <w:t>Банк осуществляет проверку документов, подтверждающих выполнение всех условий аккредитива, по внешним формальным признакам содержания, оформления и количества фактически представленных документов требованиям, указанным в аккредитиве, без проверки их подлинности, за исключением наличия в представленных документах явных следов подделки.</w:t>
      </w:r>
    </w:p>
    <w:p w:rsidR="003B3B7A" w:rsidRPr="005012F4" w:rsidRDefault="003B3B7A" w:rsidP="00C209D3">
      <w:pPr>
        <w:numPr>
          <w:ilvl w:val="0"/>
          <w:numId w:val="3"/>
        </w:numPr>
        <w:shd w:val="clear" w:color="auto" w:fill="FFFFFF"/>
        <w:spacing w:line="274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sz w:val="22"/>
          <w:szCs w:val="22"/>
        </w:rPr>
        <w:t>Оплата Банком</w:t>
      </w:r>
      <w:r w:rsidRPr="005012F4">
        <w:rPr>
          <w:rFonts w:ascii="Calibri" w:hAnsi="Calibri" w:cs="Calibri"/>
          <w:bCs/>
          <w:sz w:val="22"/>
          <w:szCs w:val="22"/>
        </w:rPr>
        <w:t xml:space="preserve"> аккредитива</w:t>
      </w:r>
      <w:r w:rsidRPr="005012F4">
        <w:rPr>
          <w:rFonts w:ascii="Calibri" w:hAnsi="Calibri" w:cs="Calibri"/>
          <w:sz w:val="22"/>
          <w:szCs w:val="22"/>
        </w:rPr>
        <w:t xml:space="preserve"> производится при условии предоставления Получателем:</w:t>
      </w:r>
    </w:p>
    <w:p w:rsidR="00AC29F0" w:rsidRDefault="003B3B7A" w:rsidP="00C209D3">
      <w:pPr>
        <w:pStyle w:val="s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sz w:val="22"/>
          <w:szCs w:val="22"/>
        </w:rPr>
        <w:t xml:space="preserve">Оригинала </w:t>
      </w:r>
      <w:r w:rsidR="00095712">
        <w:rPr>
          <w:rFonts w:ascii="Calibri" w:hAnsi="Calibri" w:cs="Calibri"/>
          <w:sz w:val="22"/>
          <w:szCs w:val="22"/>
        </w:rPr>
        <w:t>Договора сторон</w:t>
      </w:r>
      <w:r w:rsidRPr="005012F4">
        <w:rPr>
          <w:rFonts w:ascii="Calibri" w:hAnsi="Calibri" w:cs="Calibri"/>
          <w:sz w:val="22"/>
          <w:szCs w:val="22"/>
        </w:rPr>
        <w:t xml:space="preserve"> с отметкой органа, осуществляющего государственную регистрацию недвижимости</w:t>
      </w:r>
      <w:r w:rsidR="00AC29F0">
        <w:rPr>
          <w:rFonts w:ascii="Calibri" w:hAnsi="Calibri" w:cs="Calibri"/>
          <w:sz w:val="22"/>
          <w:szCs w:val="22"/>
        </w:rPr>
        <w:t xml:space="preserve">, удостоверяющей право собственности Получателя на </w:t>
      </w:r>
      <w:r w:rsidR="00AC29F0" w:rsidRPr="005012F4">
        <w:rPr>
          <w:rFonts w:ascii="Calibri" w:hAnsi="Calibri" w:cs="Calibri"/>
          <w:sz w:val="22"/>
          <w:szCs w:val="22"/>
        </w:rPr>
        <w:t xml:space="preserve">объект недвижимости, указанный в </w:t>
      </w:r>
      <w:r w:rsidR="00095712">
        <w:rPr>
          <w:rFonts w:ascii="Calibri" w:hAnsi="Calibri" w:cs="Calibri"/>
          <w:sz w:val="22"/>
          <w:szCs w:val="22"/>
        </w:rPr>
        <w:t>Договоре сторон</w:t>
      </w:r>
      <w:r w:rsidR="00AC29F0">
        <w:rPr>
          <w:rFonts w:ascii="Calibri" w:hAnsi="Calibri" w:cs="Calibri"/>
          <w:sz w:val="22"/>
          <w:szCs w:val="22"/>
        </w:rPr>
        <w:t>, и специальную регистрационную надпись, удостоверяющую проведение государственной регистрации ипотеки в силу закона в пользу Банка.</w:t>
      </w:r>
    </w:p>
    <w:p w:rsidR="003B3B7A" w:rsidRPr="005012F4" w:rsidRDefault="003B3B7A" w:rsidP="00BD307D">
      <w:pPr>
        <w:pStyle w:val="s1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5012F4">
        <w:rPr>
          <w:rFonts w:ascii="Calibri" w:hAnsi="Calibri" w:cs="Calibri"/>
          <w:b/>
          <w:bCs/>
          <w:i/>
          <w:sz w:val="22"/>
          <w:szCs w:val="22"/>
        </w:rPr>
        <w:t>либо</w:t>
      </w:r>
    </w:p>
    <w:p w:rsidR="003B3B7A" w:rsidRPr="005012F4" w:rsidRDefault="003B3B7A" w:rsidP="00C209D3">
      <w:pPr>
        <w:pStyle w:val="s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sz w:val="22"/>
          <w:szCs w:val="22"/>
        </w:rPr>
        <w:t>Оригинала</w:t>
      </w:r>
      <w:r w:rsidR="00AC29F0">
        <w:rPr>
          <w:rFonts w:ascii="Calibri" w:hAnsi="Calibri" w:cs="Calibri"/>
          <w:sz w:val="22"/>
          <w:szCs w:val="22"/>
        </w:rPr>
        <w:t>/нотариально заверенной копии</w:t>
      </w:r>
      <w:r w:rsidRPr="005012F4">
        <w:rPr>
          <w:rFonts w:ascii="Calibri" w:hAnsi="Calibri" w:cs="Calibri"/>
          <w:sz w:val="22"/>
          <w:szCs w:val="22"/>
        </w:rPr>
        <w:t xml:space="preserve"> выписки из </w:t>
      </w:r>
      <w:r w:rsidR="006D3071" w:rsidRPr="005012F4">
        <w:rPr>
          <w:rFonts w:ascii="Calibri" w:hAnsi="Calibri" w:cs="Calibri"/>
          <w:sz w:val="22"/>
          <w:szCs w:val="22"/>
        </w:rPr>
        <w:t xml:space="preserve">органа, осуществляющего государственную регистрацию недвижимости, </w:t>
      </w:r>
      <w:r w:rsidRPr="005012F4">
        <w:rPr>
          <w:rFonts w:ascii="Calibri" w:hAnsi="Calibri" w:cs="Calibri"/>
          <w:sz w:val="22"/>
          <w:szCs w:val="22"/>
        </w:rPr>
        <w:t xml:space="preserve">на объект недвижимости, указанный в </w:t>
      </w:r>
      <w:r w:rsidR="00095712">
        <w:rPr>
          <w:rFonts w:ascii="Calibri" w:hAnsi="Calibri" w:cs="Calibri"/>
          <w:sz w:val="22"/>
          <w:szCs w:val="22"/>
        </w:rPr>
        <w:t>Договоре сторон</w:t>
      </w:r>
      <w:r w:rsidRPr="005012F4">
        <w:rPr>
          <w:rFonts w:ascii="Calibri" w:hAnsi="Calibri" w:cs="Calibri"/>
          <w:sz w:val="22"/>
          <w:szCs w:val="22"/>
        </w:rPr>
        <w:t xml:space="preserve">, где в качестве правообладателя указан </w:t>
      </w:r>
      <w:r w:rsidR="000C6286">
        <w:rPr>
          <w:rFonts w:ascii="Calibri" w:hAnsi="Calibri" w:cs="Calibri"/>
          <w:sz w:val="22"/>
          <w:szCs w:val="22"/>
        </w:rPr>
        <w:t>Покупатель</w:t>
      </w:r>
      <w:r w:rsidRPr="005012F4">
        <w:rPr>
          <w:rFonts w:ascii="Calibri" w:hAnsi="Calibri" w:cs="Calibri"/>
          <w:sz w:val="22"/>
          <w:szCs w:val="22"/>
        </w:rPr>
        <w:t xml:space="preserve"> с обременением – ипотекой в силу закона в пользу </w:t>
      </w:r>
      <w:r w:rsidR="000C6394">
        <w:rPr>
          <w:rFonts w:ascii="Calibri" w:hAnsi="Calibri" w:cs="Calibri"/>
          <w:sz w:val="22"/>
          <w:szCs w:val="22"/>
        </w:rPr>
        <w:t>Банка</w:t>
      </w:r>
      <w:r w:rsidR="00AC29F0">
        <w:rPr>
          <w:rFonts w:ascii="Calibri" w:hAnsi="Calibri" w:cs="Calibri"/>
          <w:sz w:val="22"/>
          <w:szCs w:val="22"/>
        </w:rPr>
        <w:t>.</w:t>
      </w:r>
    </w:p>
    <w:p w:rsidR="003B3B7A" w:rsidRPr="005012F4" w:rsidRDefault="003B3B7A" w:rsidP="00BD307D">
      <w:pPr>
        <w:pStyle w:val="s1"/>
        <w:spacing w:before="0" w:beforeAutospacing="0" w:after="0" w:afterAutospacing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5012F4">
        <w:rPr>
          <w:rFonts w:ascii="Calibri" w:hAnsi="Calibri" w:cs="Calibri"/>
          <w:b/>
          <w:bCs/>
          <w:i/>
          <w:sz w:val="22"/>
          <w:szCs w:val="22"/>
        </w:rPr>
        <w:t>либо</w:t>
      </w:r>
    </w:p>
    <w:p w:rsidR="00D53365" w:rsidRDefault="00D53365" w:rsidP="00C209D3">
      <w:pPr>
        <w:pStyle w:val="s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После получения Банком Закладной (в случае ее оформления) </w:t>
      </w:r>
      <w:r w:rsidRPr="005012F4">
        <w:rPr>
          <w:rFonts w:ascii="Calibri" w:hAnsi="Calibri" w:cs="Calibri"/>
          <w:sz w:val="22"/>
          <w:szCs w:val="22"/>
        </w:rPr>
        <w:t>с отметкой органа, осуществляющего государственную регистрацию недвижимости</w:t>
      </w:r>
      <w:r>
        <w:rPr>
          <w:rFonts w:ascii="Calibri" w:hAnsi="Calibri" w:cs="Calibri"/>
          <w:sz w:val="22"/>
          <w:szCs w:val="22"/>
        </w:rPr>
        <w:t>.</w:t>
      </w:r>
    </w:p>
    <w:p w:rsidR="00D53365" w:rsidRDefault="00D53365" w:rsidP="00D53365">
      <w:pPr>
        <w:pStyle w:val="s1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b/>
          <w:bCs/>
          <w:i/>
          <w:sz w:val="22"/>
          <w:szCs w:val="22"/>
        </w:rPr>
        <w:t>либо</w:t>
      </w:r>
    </w:p>
    <w:p w:rsidR="003B3B7A" w:rsidRPr="005012F4" w:rsidRDefault="003B3B7A" w:rsidP="00C209D3">
      <w:pPr>
        <w:pStyle w:val="s1"/>
        <w:numPr>
          <w:ilvl w:val="0"/>
          <w:numId w:val="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sz w:val="22"/>
          <w:szCs w:val="22"/>
        </w:rPr>
        <w:t xml:space="preserve">Заявления о получении Банком выписки из </w:t>
      </w:r>
      <w:r w:rsidR="006D3071" w:rsidRPr="005012F4">
        <w:rPr>
          <w:rFonts w:ascii="Calibri" w:hAnsi="Calibri" w:cs="Calibri"/>
          <w:sz w:val="22"/>
          <w:szCs w:val="22"/>
        </w:rPr>
        <w:t xml:space="preserve">органа, осуществляющего государственную регистрацию недвижимости, </w:t>
      </w:r>
      <w:r w:rsidRPr="005012F4">
        <w:rPr>
          <w:rFonts w:ascii="Calibri" w:hAnsi="Calibri" w:cs="Calibri"/>
          <w:sz w:val="22"/>
          <w:szCs w:val="22"/>
        </w:rPr>
        <w:t xml:space="preserve">с официального сайте Росреестра </w:t>
      </w:r>
      <w:r w:rsidR="006D3071" w:rsidRPr="005012F4">
        <w:rPr>
          <w:rFonts w:ascii="Calibri" w:hAnsi="Calibri" w:cs="Calibri"/>
          <w:sz w:val="22"/>
          <w:szCs w:val="22"/>
        </w:rPr>
        <w:t xml:space="preserve">с </w:t>
      </w:r>
      <w:r w:rsidRPr="005012F4">
        <w:rPr>
          <w:rFonts w:ascii="Calibri" w:hAnsi="Calibri" w:cs="Calibri"/>
          <w:sz w:val="22"/>
          <w:szCs w:val="22"/>
        </w:rPr>
        <w:t xml:space="preserve">использованием ЭЦП, согласно которому Банк самостоятельно получает выписку на объект недвижимости, указанный в </w:t>
      </w:r>
      <w:r w:rsidR="00095712">
        <w:rPr>
          <w:rFonts w:ascii="Calibri" w:hAnsi="Calibri" w:cs="Calibri"/>
          <w:sz w:val="22"/>
          <w:szCs w:val="22"/>
        </w:rPr>
        <w:t>Договоре сторон</w:t>
      </w:r>
      <w:r w:rsidRPr="005012F4">
        <w:rPr>
          <w:rFonts w:ascii="Calibri" w:hAnsi="Calibri" w:cs="Calibri"/>
          <w:sz w:val="22"/>
          <w:szCs w:val="22"/>
        </w:rPr>
        <w:t>, где в качестве правообладателя указан Покупател</w:t>
      </w:r>
      <w:r w:rsidR="000C6286">
        <w:rPr>
          <w:rFonts w:ascii="Calibri" w:hAnsi="Calibri" w:cs="Calibri"/>
          <w:sz w:val="22"/>
          <w:szCs w:val="22"/>
        </w:rPr>
        <w:t>ь</w:t>
      </w:r>
      <w:r w:rsidRPr="005012F4">
        <w:rPr>
          <w:rFonts w:ascii="Calibri" w:hAnsi="Calibri" w:cs="Calibri"/>
          <w:sz w:val="22"/>
          <w:szCs w:val="22"/>
        </w:rPr>
        <w:t xml:space="preserve"> с обременением – ипотекой в силу закона в пользу</w:t>
      </w:r>
      <w:r w:rsidR="000C6394">
        <w:rPr>
          <w:rFonts w:ascii="Calibri" w:hAnsi="Calibri" w:cs="Calibri"/>
          <w:sz w:val="22"/>
          <w:szCs w:val="22"/>
        </w:rPr>
        <w:t xml:space="preserve"> Банка</w:t>
      </w:r>
      <w:r w:rsidRPr="005012F4">
        <w:rPr>
          <w:rFonts w:ascii="Calibri" w:hAnsi="Calibri" w:cs="Calibri"/>
          <w:sz w:val="22"/>
          <w:szCs w:val="22"/>
        </w:rPr>
        <w:t>.</w:t>
      </w:r>
    </w:p>
    <w:p w:rsidR="00EE59B6" w:rsidRDefault="00EE59B6" w:rsidP="00EE59B6">
      <w:pPr>
        <w:numPr>
          <w:ilvl w:val="0"/>
          <w:numId w:val="3"/>
        </w:numPr>
        <w:shd w:val="clear" w:color="auto" w:fill="FFFFFF"/>
        <w:spacing w:line="274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sz w:val="22"/>
          <w:szCs w:val="22"/>
        </w:rPr>
        <w:t>При обнаружении несоответствия представленных Получателем документов условиям аккредитива, оплата таких документов не производится, документы возвращаются Получателю. Получатель вправе повторно предоставить документы на рассмотрение до истечения срока действия аккредитива.</w:t>
      </w:r>
    </w:p>
    <w:p w:rsidR="00EE59B6" w:rsidRPr="00EE59B6" w:rsidRDefault="00EE59B6" w:rsidP="00C209D3">
      <w:pPr>
        <w:numPr>
          <w:ilvl w:val="0"/>
          <w:numId w:val="3"/>
        </w:numPr>
        <w:shd w:val="clear" w:color="auto" w:fill="FFFFFF"/>
        <w:spacing w:line="274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EE59B6">
        <w:rPr>
          <w:rFonts w:ascii="Calibri" w:hAnsi="Calibri" w:cs="Calibri"/>
          <w:sz w:val="22"/>
          <w:szCs w:val="22"/>
        </w:rPr>
        <w:t>В случае наступления срока</w:t>
      </w:r>
      <w:r w:rsidRPr="00EE59B6">
        <w:rPr>
          <w:rFonts w:ascii="Calibri" w:hAnsi="Calibri" w:cs="Calibri"/>
          <w:sz w:val="22"/>
          <w:szCs w:val="22"/>
        </w:rPr>
        <w:t xml:space="preserve"> по Аккредитиву</w:t>
      </w:r>
      <w:r w:rsidRPr="00EE59B6">
        <w:rPr>
          <w:rFonts w:ascii="Calibri" w:hAnsi="Calibri" w:cs="Calibri"/>
          <w:sz w:val="22"/>
          <w:szCs w:val="22"/>
        </w:rPr>
        <w:t xml:space="preserve"> и при </w:t>
      </w:r>
      <w:r w:rsidRPr="00EE59B6">
        <w:rPr>
          <w:rFonts w:ascii="Calibri" w:hAnsi="Calibri" w:cs="Calibri"/>
          <w:sz w:val="22"/>
          <w:szCs w:val="22"/>
        </w:rPr>
        <w:t>отсутствии</w:t>
      </w:r>
      <w:r w:rsidRPr="00EE59B6">
        <w:rPr>
          <w:rFonts w:ascii="Calibri" w:hAnsi="Calibri" w:cs="Calibri"/>
          <w:sz w:val="22"/>
          <w:szCs w:val="22"/>
        </w:rPr>
        <w:t xml:space="preserve"> документов, являющихся основанием для </w:t>
      </w:r>
      <w:r w:rsidRPr="00EE59B6">
        <w:rPr>
          <w:rFonts w:ascii="Calibri" w:hAnsi="Calibri" w:cs="Calibri"/>
          <w:sz w:val="22"/>
          <w:szCs w:val="22"/>
        </w:rPr>
        <w:t>исполнения Аккредитива</w:t>
      </w:r>
      <w:r w:rsidRPr="00EE59B6">
        <w:rPr>
          <w:rFonts w:ascii="Calibri" w:hAnsi="Calibri" w:cs="Calibri"/>
          <w:sz w:val="22"/>
          <w:szCs w:val="22"/>
        </w:rPr>
        <w:t>, денежные средства подлежат возврату</w:t>
      </w:r>
      <w:r w:rsidRPr="00EE59B6">
        <w:rPr>
          <w:rFonts w:ascii="Calibri" w:hAnsi="Calibri" w:cs="Calibri"/>
          <w:sz w:val="22"/>
          <w:szCs w:val="22"/>
        </w:rPr>
        <w:t xml:space="preserve"> Плательщику.</w:t>
      </w:r>
    </w:p>
    <w:p w:rsidR="003B3B7A" w:rsidRPr="005012F4" w:rsidRDefault="003B3B7A" w:rsidP="00C209D3">
      <w:pPr>
        <w:numPr>
          <w:ilvl w:val="0"/>
          <w:numId w:val="3"/>
        </w:numPr>
        <w:shd w:val="clear" w:color="auto" w:fill="FFFFFF"/>
        <w:spacing w:line="274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sz w:val="22"/>
          <w:szCs w:val="22"/>
        </w:rPr>
        <w:t xml:space="preserve">Досрочное закрытие аккредитива </w:t>
      </w:r>
      <w:r w:rsidR="00BC1CA7">
        <w:rPr>
          <w:rFonts w:ascii="Calibri" w:hAnsi="Calibri" w:cs="Calibri"/>
          <w:sz w:val="22"/>
          <w:szCs w:val="22"/>
        </w:rPr>
        <w:t xml:space="preserve">– отмена </w:t>
      </w:r>
      <w:r w:rsidR="00F87695">
        <w:rPr>
          <w:rFonts w:ascii="Calibri" w:hAnsi="Calibri" w:cs="Calibri"/>
          <w:sz w:val="22"/>
          <w:szCs w:val="22"/>
        </w:rPr>
        <w:t>а</w:t>
      </w:r>
      <w:r w:rsidR="00BC1CA7">
        <w:rPr>
          <w:rFonts w:ascii="Calibri" w:hAnsi="Calibri" w:cs="Calibri"/>
          <w:sz w:val="22"/>
          <w:szCs w:val="22"/>
        </w:rPr>
        <w:t xml:space="preserve">ккредитива </w:t>
      </w:r>
      <w:r w:rsidRPr="005012F4">
        <w:rPr>
          <w:rFonts w:ascii="Calibri" w:hAnsi="Calibri" w:cs="Calibri"/>
          <w:sz w:val="22"/>
          <w:szCs w:val="22"/>
        </w:rPr>
        <w:t>возможн</w:t>
      </w:r>
      <w:r w:rsidR="00BC1CA7">
        <w:rPr>
          <w:rFonts w:ascii="Calibri" w:hAnsi="Calibri" w:cs="Calibri"/>
          <w:sz w:val="22"/>
          <w:szCs w:val="22"/>
        </w:rPr>
        <w:t>а</w:t>
      </w:r>
      <w:r w:rsidRPr="005012F4">
        <w:rPr>
          <w:rFonts w:ascii="Calibri" w:hAnsi="Calibri" w:cs="Calibri"/>
          <w:sz w:val="22"/>
          <w:szCs w:val="22"/>
        </w:rPr>
        <w:t xml:space="preserve"> </w:t>
      </w:r>
      <w:r w:rsidR="00F87695" w:rsidRPr="00F87695">
        <w:rPr>
          <w:rFonts w:ascii="Calibri" w:hAnsi="Calibri" w:cs="Calibri"/>
          <w:sz w:val="22"/>
          <w:szCs w:val="22"/>
        </w:rPr>
        <w:t xml:space="preserve">путем совместного обращения в Банк </w:t>
      </w:r>
      <w:r w:rsidR="00F87695">
        <w:rPr>
          <w:rFonts w:ascii="Calibri" w:hAnsi="Calibri" w:cs="Calibri"/>
          <w:sz w:val="22"/>
          <w:szCs w:val="22"/>
        </w:rPr>
        <w:t xml:space="preserve">Плательщика и Получателя </w:t>
      </w:r>
      <w:r w:rsidR="00F87695" w:rsidRPr="00F87695">
        <w:rPr>
          <w:rFonts w:ascii="Calibri" w:hAnsi="Calibri" w:cs="Calibri"/>
          <w:sz w:val="22"/>
          <w:szCs w:val="22"/>
        </w:rPr>
        <w:t>и предоставления в Банк совместно написанного заявления (Приложение №</w:t>
      </w:r>
      <w:r w:rsidR="00F87695">
        <w:rPr>
          <w:rFonts w:ascii="Calibri" w:hAnsi="Calibri" w:cs="Calibri"/>
          <w:sz w:val="22"/>
          <w:szCs w:val="22"/>
        </w:rPr>
        <w:t>1</w:t>
      </w:r>
      <w:r w:rsidR="00F87695" w:rsidRPr="00F87695">
        <w:rPr>
          <w:rFonts w:ascii="Calibri" w:hAnsi="Calibri" w:cs="Calibri"/>
          <w:sz w:val="22"/>
          <w:szCs w:val="22"/>
        </w:rPr>
        <w:t xml:space="preserve"> к настоящим Условиям) о</w:t>
      </w:r>
      <w:r w:rsidR="00F87695">
        <w:rPr>
          <w:rFonts w:ascii="Calibri" w:hAnsi="Calibri" w:cs="Calibri"/>
          <w:sz w:val="22"/>
          <w:szCs w:val="22"/>
        </w:rPr>
        <w:t>б отмене аккредитива</w:t>
      </w:r>
      <w:r w:rsidRPr="005012F4">
        <w:rPr>
          <w:rFonts w:ascii="Calibri" w:hAnsi="Calibri" w:cs="Calibri"/>
          <w:sz w:val="22"/>
          <w:szCs w:val="22"/>
        </w:rPr>
        <w:t xml:space="preserve">. </w:t>
      </w:r>
    </w:p>
    <w:p w:rsidR="00D95299" w:rsidRPr="005012F4" w:rsidRDefault="00D95299" w:rsidP="00C209D3">
      <w:pPr>
        <w:numPr>
          <w:ilvl w:val="0"/>
          <w:numId w:val="3"/>
        </w:numPr>
        <w:shd w:val="clear" w:color="auto" w:fill="FFFFFF"/>
        <w:spacing w:line="274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sz w:val="22"/>
          <w:szCs w:val="22"/>
        </w:rPr>
        <w:t xml:space="preserve">Платеж по аккредитиву осуществляется Банком </w:t>
      </w:r>
      <w:r w:rsidR="00C1373B" w:rsidRPr="00C1373B">
        <w:rPr>
          <w:rFonts w:ascii="Calibri" w:hAnsi="Calibri" w:cs="Calibri"/>
          <w:sz w:val="22"/>
          <w:szCs w:val="22"/>
        </w:rPr>
        <w:t>не позднее 3 (Трех) рабочих дней с даты предоставления в Банк документов</w:t>
      </w:r>
      <w:r w:rsidR="00C1373B">
        <w:rPr>
          <w:rFonts w:ascii="Calibri" w:hAnsi="Calibri" w:cs="Calibri"/>
          <w:sz w:val="22"/>
          <w:szCs w:val="22"/>
        </w:rPr>
        <w:t xml:space="preserve">, при выполнении условий, установленных </w:t>
      </w:r>
      <w:proofErr w:type="spellStart"/>
      <w:r w:rsidR="00C1373B">
        <w:rPr>
          <w:rFonts w:ascii="Calibri" w:hAnsi="Calibri" w:cs="Calibri"/>
          <w:sz w:val="22"/>
          <w:szCs w:val="22"/>
        </w:rPr>
        <w:t>п.п</w:t>
      </w:r>
      <w:proofErr w:type="spellEnd"/>
      <w:r w:rsidR="00C1373B">
        <w:rPr>
          <w:rFonts w:ascii="Calibri" w:hAnsi="Calibri" w:cs="Calibri"/>
          <w:sz w:val="22"/>
          <w:szCs w:val="22"/>
        </w:rPr>
        <w:t>. 9-11 настоящих Условий</w:t>
      </w:r>
      <w:r w:rsidRPr="005012F4">
        <w:rPr>
          <w:rFonts w:ascii="Calibri" w:hAnsi="Calibri" w:cs="Calibri"/>
          <w:sz w:val="22"/>
          <w:szCs w:val="22"/>
        </w:rPr>
        <w:t>.</w:t>
      </w:r>
    </w:p>
    <w:p w:rsidR="00D95299" w:rsidRPr="005012F4" w:rsidRDefault="00D95299" w:rsidP="00C209D3">
      <w:pPr>
        <w:numPr>
          <w:ilvl w:val="0"/>
          <w:numId w:val="3"/>
        </w:numPr>
        <w:shd w:val="clear" w:color="auto" w:fill="FFFFFF"/>
        <w:spacing w:line="274" w:lineRule="exact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5012F4">
        <w:rPr>
          <w:rFonts w:ascii="Calibri" w:hAnsi="Calibri" w:cs="Calibri"/>
          <w:sz w:val="22"/>
          <w:szCs w:val="22"/>
        </w:rPr>
        <w:t xml:space="preserve">Информация об исполнении аккредитива доводится </w:t>
      </w:r>
      <w:r w:rsidR="004C6B66">
        <w:rPr>
          <w:rFonts w:ascii="Calibri" w:hAnsi="Calibri" w:cs="Calibri"/>
          <w:sz w:val="22"/>
          <w:szCs w:val="22"/>
        </w:rPr>
        <w:t xml:space="preserve">Банком </w:t>
      </w:r>
      <w:r w:rsidRPr="005012F4">
        <w:rPr>
          <w:rFonts w:ascii="Calibri" w:hAnsi="Calibri" w:cs="Calibri"/>
          <w:sz w:val="22"/>
          <w:szCs w:val="22"/>
        </w:rPr>
        <w:t>до Плательщика Банк</w:t>
      </w:r>
      <w:r w:rsidR="00411CE1" w:rsidRPr="005012F4">
        <w:rPr>
          <w:rFonts w:ascii="Calibri" w:hAnsi="Calibri" w:cs="Calibri"/>
          <w:sz w:val="22"/>
          <w:szCs w:val="22"/>
        </w:rPr>
        <w:t>ом</w:t>
      </w:r>
      <w:r w:rsidRPr="005012F4">
        <w:rPr>
          <w:rFonts w:ascii="Calibri" w:hAnsi="Calibri" w:cs="Calibri"/>
          <w:sz w:val="22"/>
          <w:szCs w:val="22"/>
        </w:rPr>
        <w:t xml:space="preserve"> по телефону</w:t>
      </w:r>
      <w:r w:rsidR="004C6B66">
        <w:rPr>
          <w:rFonts w:ascii="Calibri" w:hAnsi="Calibri" w:cs="Calibri"/>
          <w:sz w:val="22"/>
          <w:szCs w:val="22"/>
        </w:rPr>
        <w:t xml:space="preserve"> или СМС-сообщением</w:t>
      </w:r>
      <w:r w:rsidR="00C1373B">
        <w:rPr>
          <w:rFonts w:ascii="Calibri" w:hAnsi="Calibri" w:cs="Calibri"/>
          <w:sz w:val="22"/>
          <w:szCs w:val="22"/>
        </w:rPr>
        <w:t>, а также путем предоставления платежного документа при обращении Плательщика в Банк</w:t>
      </w:r>
      <w:r w:rsidRPr="005012F4">
        <w:rPr>
          <w:rFonts w:ascii="Calibri" w:hAnsi="Calibri" w:cs="Calibri"/>
          <w:sz w:val="22"/>
          <w:szCs w:val="22"/>
        </w:rPr>
        <w:t>.</w:t>
      </w:r>
    </w:p>
    <w:p w:rsidR="006E6410" w:rsidRPr="00F87695" w:rsidRDefault="00C1373B" w:rsidP="00D95299">
      <w:pPr>
        <w:numPr>
          <w:ilvl w:val="0"/>
          <w:numId w:val="3"/>
        </w:numPr>
        <w:shd w:val="clear" w:color="auto" w:fill="FFFFFF"/>
        <w:spacing w:line="274" w:lineRule="exact"/>
        <w:ind w:left="357" w:right="14" w:hanging="357"/>
        <w:jc w:val="both"/>
        <w:rPr>
          <w:rFonts w:ascii="Calibri" w:hAnsi="Calibri" w:cs="Calibri"/>
          <w:spacing w:val="-16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Обслуживание</w:t>
      </w:r>
      <w:r w:rsidR="00D95299" w:rsidRPr="005012F4">
        <w:rPr>
          <w:rFonts w:ascii="Calibri" w:hAnsi="Calibri" w:cs="Calibri"/>
          <w:sz w:val="22"/>
          <w:szCs w:val="22"/>
        </w:rPr>
        <w:t xml:space="preserve"> текущего счета Плательщика, с которого депонировались средства по аккредитиву, производится Банком на основании </w:t>
      </w:r>
      <w:r>
        <w:rPr>
          <w:rFonts w:ascii="Calibri" w:hAnsi="Calibri" w:cs="Calibri"/>
          <w:sz w:val="22"/>
          <w:szCs w:val="22"/>
        </w:rPr>
        <w:t>отдельно заключенного договора.</w:t>
      </w:r>
    </w:p>
    <w:p w:rsidR="00F87695" w:rsidRDefault="00F87695" w:rsidP="00F87695">
      <w:pPr>
        <w:shd w:val="clear" w:color="auto" w:fill="FFFFFF"/>
        <w:spacing w:line="274" w:lineRule="exact"/>
        <w:ind w:left="357" w:right="14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4"/>
        <w:gridCol w:w="2835"/>
      </w:tblGrid>
      <w:tr w:rsidR="00F87695" w:rsidRPr="00F87695" w:rsidTr="00F87695">
        <w:tc>
          <w:tcPr>
            <w:tcW w:w="6414" w:type="dxa"/>
            <w:shd w:val="clear" w:color="auto" w:fill="auto"/>
          </w:tcPr>
          <w:p w:rsidR="00F87695" w:rsidRPr="00F87695" w:rsidRDefault="00F87695" w:rsidP="00F87695">
            <w:pPr>
              <w:shd w:val="clear" w:color="auto" w:fill="FFFFFF"/>
              <w:spacing w:line="274" w:lineRule="exact"/>
              <w:ind w:right="14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87695">
              <w:rPr>
                <w:rFonts w:ascii="Calibri" w:hAnsi="Calibri" w:cs="Calibri"/>
                <w:sz w:val="22"/>
                <w:szCs w:val="22"/>
              </w:rPr>
              <w:t>Приложение №1: Заявление на отмену аккредитива</w:t>
            </w:r>
          </w:p>
        </w:tc>
        <w:bookmarkStart w:id="2" w:name="_MON_1627907109"/>
        <w:bookmarkEnd w:id="2"/>
        <w:tc>
          <w:tcPr>
            <w:tcW w:w="2835" w:type="dxa"/>
            <w:shd w:val="clear" w:color="auto" w:fill="auto"/>
          </w:tcPr>
          <w:p w:rsidR="00F87695" w:rsidRPr="00F87695" w:rsidRDefault="000C6286" w:rsidP="00F87695">
            <w:r>
              <w:object w:dxaOrig="1536" w:dyaOrig="9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5pt" o:ole="">
                  <v:imagedata r:id="rId7" o:title=""/>
                </v:shape>
                <o:OLEObject Type="Embed" ProgID="Word.Document.12" ShapeID="_x0000_i1025" DrawAspect="Icon" ObjectID="_1629532165" r:id="rId8">
                  <o:FieldCodes>\s</o:FieldCodes>
                </o:OLEObject>
              </w:object>
            </w:r>
          </w:p>
        </w:tc>
      </w:tr>
    </w:tbl>
    <w:p w:rsidR="00F87695" w:rsidRPr="005012F4" w:rsidRDefault="00F87695">
      <w:pPr>
        <w:shd w:val="clear" w:color="auto" w:fill="FFFFFF"/>
        <w:spacing w:line="274" w:lineRule="exact"/>
        <w:ind w:left="357" w:right="14"/>
        <w:jc w:val="both"/>
        <w:rPr>
          <w:rFonts w:ascii="Calibri" w:hAnsi="Calibri" w:cs="Calibri"/>
          <w:spacing w:val="-16"/>
          <w:sz w:val="22"/>
          <w:szCs w:val="22"/>
        </w:rPr>
      </w:pPr>
    </w:p>
    <w:sectPr w:rsidR="00F87695" w:rsidRPr="005012F4">
      <w:headerReference w:type="default" r:id="rId9"/>
      <w:pgSz w:w="11909" w:h="16834"/>
      <w:pgMar w:top="1440" w:right="732" w:bottom="720" w:left="154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E4C" w:rsidRDefault="006B0E4C" w:rsidP="00C209D3">
      <w:r>
        <w:separator/>
      </w:r>
    </w:p>
  </w:endnote>
  <w:endnote w:type="continuationSeparator" w:id="0">
    <w:p w:rsidR="006B0E4C" w:rsidRDefault="006B0E4C" w:rsidP="00C2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E4C" w:rsidRDefault="006B0E4C" w:rsidP="00C209D3">
      <w:r>
        <w:separator/>
      </w:r>
    </w:p>
  </w:footnote>
  <w:footnote w:type="continuationSeparator" w:id="0">
    <w:p w:rsidR="006B0E4C" w:rsidRDefault="006B0E4C" w:rsidP="00C20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09D3" w:rsidRDefault="006B0E4C" w:rsidP="00C209D3">
    <w:pPr>
      <w:pStyle w:val="a3"/>
      <w:ind w:left="-142"/>
    </w:pPr>
    <w:r>
      <w:rPr>
        <w:b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1" o:spid="_x0000_i1026" type="#_x0000_t75" style="width:201.75pt;height:28.5pt;visibility:visible;mso-wrap-style:square" o:ole="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A3B28"/>
    <w:multiLevelType w:val="hybridMultilevel"/>
    <w:tmpl w:val="FE1C0E78"/>
    <w:lvl w:ilvl="0" w:tplc="3B9ADEDE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2EA37096"/>
    <w:multiLevelType w:val="multilevel"/>
    <w:tmpl w:val="062C01A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6E6EE6"/>
    <w:multiLevelType w:val="singleLevel"/>
    <w:tmpl w:val="EC368CB6"/>
    <w:lvl w:ilvl="0">
      <w:start w:val="1"/>
      <w:numFmt w:val="decimal"/>
      <w:lvlText w:val="%1."/>
      <w:legacy w:legacy="1" w:legacySpace="0" w:legacyIndent="557"/>
      <w:lvlJc w:val="left"/>
      <w:rPr>
        <w:rFonts w:ascii="Calibri" w:eastAsia="Times New Roman" w:hAnsi="Calibri" w:cs="Calibri"/>
      </w:rPr>
    </w:lvl>
  </w:abstractNum>
  <w:abstractNum w:abstractNumId="3" w15:restartNumberingAfterBreak="0">
    <w:nsid w:val="3EDB229B"/>
    <w:multiLevelType w:val="hybridMultilevel"/>
    <w:tmpl w:val="9FB459CA"/>
    <w:lvl w:ilvl="0" w:tplc="0419000F">
      <w:start w:val="1"/>
      <w:numFmt w:val="decimal"/>
      <w:lvlText w:val="%1."/>
      <w:lvlJc w:val="left"/>
      <w:pPr>
        <w:ind w:left="305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0676A"/>
    <w:multiLevelType w:val="multilevel"/>
    <w:tmpl w:val="85548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 w15:restartNumberingAfterBreak="0">
    <w:nsid w:val="59AB427E"/>
    <w:multiLevelType w:val="hybridMultilevel"/>
    <w:tmpl w:val="44142E2C"/>
    <w:lvl w:ilvl="0" w:tplc="A718C72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13"/>
        <w:numFmt w:val="decimal"/>
        <w:lvlText w:val="%1."/>
        <w:legacy w:legacy="1" w:legacySpace="0" w:legacyIndent="53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605B"/>
    <w:rsid w:val="0000605B"/>
    <w:rsid w:val="00047100"/>
    <w:rsid w:val="00081E53"/>
    <w:rsid w:val="00095712"/>
    <w:rsid w:val="000A084C"/>
    <w:rsid w:val="000B225C"/>
    <w:rsid w:val="000C6286"/>
    <w:rsid w:val="000C6394"/>
    <w:rsid w:val="001E7D27"/>
    <w:rsid w:val="00201D0D"/>
    <w:rsid w:val="00374D8D"/>
    <w:rsid w:val="00377849"/>
    <w:rsid w:val="003963CC"/>
    <w:rsid w:val="003B3B7A"/>
    <w:rsid w:val="003C44C5"/>
    <w:rsid w:val="00400443"/>
    <w:rsid w:val="00411CE1"/>
    <w:rsid w:val="00432A8C"/>
    <w:rsid w:val="004C6B66"/>
    <w:rsid w:val="005012F4"/>
    <w:rsid w:val="00563DE6"/>
    <w:rsid w:val="00622797"/>
    <w:rsid w:val="006B0E4C"/>
    <w:rsid w:val="006D3071"/>
    <w:rsid w:val="006E6410"/>
    <w:rsid w:val="007A6EDE"/>
    <w:rsid w:val="008642BC"/>
    <w:rsid w:val="00875A1F"/>
    <w:rsid w:val="008B0B0C"/>
    <w:rsid w:val="009C6564"/>
    <w:rsid w:val="00A772A5"/>
    <w:rsid w:val="00AC29F0"/>
    <w:rsid w:val="00B64B16"/>
    <w:rsid w:val="00B82154"/>
    <w:rsid w:val="00BA4769"/>
    <w:rsid w:val="00BA51FB"/>
    <w:rsid w:val="00BB3F00"/>
    <w:rsid w:val="00BC1CA7"/>
    <w:rsid w:val="00BD307D"/>
    <w:rsid w:val="00C1373B"/>
    <w:rsid w:val="00C209D3"/>
    <w:rsid w:val="00D037D9"/>
    <w:rsid w:val="00D53365"/>
    <w:rsid w:val="00D753EA"/>
    <w:rsid w:val="00D95299"/>
    <w:rsid w:val="00E076D9"/>
    <w:rsid w:val="00E33ED0"/>
    <w:rsid w:val="00E607A1"/>
    <w:rsid w:val="00EE59B6"/>
    <w:rsid w:val="00F87695"/>
    <w:rsid w:val="00FD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8DA64A"/>
  <w14:defaultImageDpi w14:val="0"/>
  <w15:docId w15:val="{7325352E-C85C-4F03-9A41-96CF9034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B3B7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209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209D3"/>
    <w:rPr>
      <w:rFonts w:ascii="Times New Roman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09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209D3"/>
    <w:rPr>
      <w:rFonts w:ascii="Times New Roman" w:hAnsi="Times New Roman"/>
      <w:sz w:val="20"/>
      <w:szCs w:val="20"/>
    </w:rPr>
  </w:style>
  <w:style w:type="paragraph" w:styleId="a7">
    <w:name w:val="Body Text"/>
    <w:basedOn w:val="a"/>
    <w:link w:val="a8"/>
    <w:rsid w:val="00C209D3"/>
    <w:pPr>
      <w:widowControl/>
      <w:suppressAutoHyphens/>
      <w:autoSpaceDE/>
      <w:autoSpaceDN/>
      <w:adjustRightInd/>
      <w:spacing w:after="120" w:line="25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a8">
    <w:name w:val="Основной текст Знак"/>
    <w:link w:val="a7"/>
    <w:rsid w:val="00C209D3"/>
    <w:rPr>
      <w:rFonts w:ascii="Calibri" w:eastAsia="Calibri" w:hAnsi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A772A5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link w:val="a9"/>
    <w:uiPriority w:val="99"/>
    <w:semiHidden/>
    <w:rsid w:val="00A772A5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List Paragraph"/>
    <w:basedOn w:val="a"/>
    <w:link w:val="ac"/>
    <w:uiPriority w:val="34"/>
    <w:qFormat/>
    <w:rsid w:val="00A772A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link w:val="ab"/>
    <w:uiPriority w:val="34"/>
    <w:locked/>
    <w:rsid w:val="00A772A5"/>
    <w:rPr>
      <w:rFonts w:eastAsia="Calibri"/>
      <w:sz w:val="22"/>
      <w:szCs w:val="22"/>
      <w:lang w:eastAsia="en-US"/>
    </w:rPr>
  </w:style>
  <w:style w:type="table" w:styleId="ad">
    <w:name w:val="Table Grid"/>
    <w:basedOn w:val="a1"/>
    <w:uiPriority w:val="39"/>
    <w:rsid w:val="00F8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2019-07-03T05:34:00Z</cp:lastPrinted>
  <dcterms:created xsi:type="dcterms:W3CDTF">2019-09-09T08:03:00Z</dcterms:created>
  <dcterms:modified xsi:type="dcterms:W3CDTF">2019-09-09T08:03:00Z</dcterms:modified>
</cp:coreProperties>
</file>